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802"/>
        <w:gridCol w:w="6440"/>
      </w:tblGrid>
      <w:tr w:rsidR="00EB3209" w:rsidTr="00EB3209">
        <w:tc>
          <w:tcPr>
            <w:tcW w:w="9242" w:type="dxa"/>
            <w:gridSpan w:val="2"/>
            <w:shd w:val="clear" w:color="auto" w:fill="CCC0D9" w:themeFill="accent4" w:themeFillTint="66"/>
          </w:tcPr>
          <w:p w:rsidR="00EB3209" w:rsidRDefault="00921CED" w:rsidP="00EB3209">
            <w:pPr>
              <w:jc w:val="center"/>
            </w:pPr>
            <w:r>
              <w:t>Year 3</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preposition</w:t>
            </w:r>
          </w:p>
        </w:tc>
        <w:tc>
          <w:tcPr>
            <w:tcW w:w="6440" w:type="dxa"/>
          </w:tcPr>
          <w:p w:rsidR="00EB3209" w:rsidRPr="005646F0" w:rsidRDefault="00921CED" w:rsidP="00EB3209">
            <w:pPr>
              <w:tabs>
                <w:tab w:val="left" w:pos="2115"/>
              </w:tabs>
              <w:rPr>
                <w:rFonts w:ascii="Comic Sans MS" w:hAnsi="Comic Sans MS"/>
                <w:sz w:val="24"/>
              </w:rPr>
            </w:pPr>
            <w:r w:rsidRPr="005646F0">
              <w:rPr>
                <w:rFonts w:ascii="Comic Sans MS" w:hAnsi="Comic Sans MS"/>
              </w:rPr>
              <w:t xml:space="preserve">A preposition sits before a noun (or a pronoun) to show the noun's relationship to another word in the sentence. (It tells you the position of the noun. E.g. around, in, under, on, </w:t>
            </w:r>
            <w:proofErr w:type="spellStart"/>
            <w:r w:rsidRPr="005646F0">
              <w:rPr>
                <w:rFonts w:ascii="Comic Sans MS" w:hAnsi="Comic Sans MS"/>
              </w:rPr>
              <w:t>through</w:t>
            </w:r>
            <w:proofErr w:type="spellEnd"/>
            <w:r w:rsidRPr="005646F0">
              <w:rPr>
                <w:rFonts w:ascii="Comic Sans MS" w:hAnsi="Comic Sans MS"/>
              </w:rPr>
              <w:t>, near.</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conjunction</w:t>
            </w:r>
          </w:p>
        </w:tc>
        <w:tc>
          <w:tcPr>
            <w:tcW w:w="6440" w:type="dxa"/>
          </w:tcPr>
          <w:p w:rsidR="00EB3209" w:rsidRPr="005646F0" w:rsidRDefault="00921CED" w:rsidP="00921CED">
            <w:pPr>
              <w:tabs>
                <w:tab w:val="left" w:pos="1125"/>
              </w:tabs>
              <w:rPr>
                <w:rFonts w:ascii="Comic Sans MS" w:hAnsi="Comic Sans MS"/>
                <w:sz w:val="24"/>
              </w:rPr>
            </w:pPr>
            <w:r w:rsidRPr="005646F0">
              <w:rPr>
                <w:rFonts w:ascii="Comic Sans MS" w:hAnsi="Comic Sans MS"/>
              </w:rPr>
              <w:t>Conjunctions are used to join words, phrases, or clauses in a sentence. For example: and, but, for, or, neither, nor, yet, although, because, if, until, unless, when, where, while, whereas.</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word family</w:t>
            </w:r>
          </w:p>
        </w:tc>
        <w:tc>
          <w:tcPr>
            <w:tcW w:w="6440" w:type="dxa"/>
          </w:tcPr>
          <w:p w:rsidR="00EB3209" w:rsidRPr="005646F0" w:rsidRDefault="00921CED" w:rsidP="00921CED">
            <w:pPr>
              <w:tabs>
                <w:tab w:val="left" w:pos="1725"/>
              </w:tabs>
              <w:rPr>
                <w:rFonts w:ascii="Comic Sans MS" w:hAnsi="Comic Sans MS"/>
                <w:sz w:val="24"/>
              </w:rPr>
            </w:pPr>
            <w:r w:rsidRPr="005646F0">
              <w:rPr>
                <w:rFonts w:ascii="Comic Sans MS" w:hAnsi="Comic Sans MS"/>
              </w:rPr>
              <w:t>Groups of words that are sufficiently closely related to each other to form a 'family'. Often built up by adding a prefix or a suffix.</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prefix</w:t>
            </w:r>
          </w:p>
        </w:tc>
        <w:tc>
          <w:tcPr>
            <w:tcW w:w="6440" w:type="dxa"/>
          </w:tcPr>
          <w:p w:rsidR="00EB3209" w:rsidRPr="005646F0" w:rsidRDefault="00921CED" w:rsidP="00921CED">
            <w:pPr>
              <w:tabs>
                <w:tab w:val="left" w:pos="1290"/>
              </w:tabs>
              <w:rPr>
                <w:rFonts w:ascii="Comic Sans MS" w:hAnsi="Comic Sans MS"/>
                <w:sz w:val="24"/>
              </w:rPr>
            </w:pPr>
            <w:r w:rsidRPr="005646F0">
              <w:rPr>
                <w:rFonts w:ascii="Comic Sans MS" w:hAnsi="Comic Sans MS"/>
              </w:rPr>
              <w:t xml:space="preserve">A word beginning added to the start of a root word which </w:t>
            </w:r>
            <w:proofErr w:type="gramStart"/>
            <w:r w:rsidRPr="005646F0">
              <w:rPr>
                <w:rFonts w:ascii="Comic Sans MS" w:hAnsi="Comic Sans MS"/>
              </w:rPr>
              <w:t>add</w:t>
            </w:r>
            <w:proofErr w:type="gramEnd"/>
            <w:r w:rsidRPr="005646F0">
              <w:rPr>
                <w:rFonts w:ascii="Comic Sans MS" w:hAnsi="Comic Sans MS"/>
              </w:rPr>
              <w:t xml:space="preserve"> a cer</w:t>
            </w:r>
            <w:bookmarkStart w:id="0" w:name="_GoBack"/>
            <w:bookmarkEnd w:id="0"/>
            <w:r w:rsidRPr="005646F0">
              <w:rPr>
                <w:rFonts w:ascii="Comic Sans MS" w:hAnsi="Comic Sans MS"/>
              </w:rPr>
              <w:t>tain meaning to the word. E.g. ‘disagree’.</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clause</w:t>
            </w:r>
          </w:p>
        </w:tc>
        <w:tc>
          <w:tcPr>
            <w:tcW w:w="6440" w:type="dxa"/>
          </w:tcPr>
          <w:p w:rsidR="00EB3209" w:rsidRPr="005646F0" w:rsidRDefault="00921CED" w:rsidP="00921CED">
            <w:pPr>
              <w:tabs>
                <w:tab w:val="left" w:pos="1230"/>
              </w:tabs>
              <w:rPr>
                <w:rFonts w:ascii="Comic Sans MS" w:hAnsi="Comic Sans MS"/>
                <w:sz w:val="24"/>
              </w:rPr>
            </w:pPr>
            <w:r w:rsidRPr="005646F0">
              <w:rPr>
                <w:rFonts w:ascii="Comic Sans MS" w:hAnsi="Comic Sans MS"/>
              </w:rPr>
              <w:t>A clause is a part of a sentence that has its own verb.</w:t>
            </w:r>
          </w:p>
        </w:tc>
      </w:tr>
      <w:tr w:rsidR="00EB3209" w:rsidTr="00EB3209">
        <w:tc>
          <w:tcPr>
            <w:tcW w:w="2802" w:type="dxa"/>
          </w:tcPr>
          <w:p w:rsidR="00EB3209" w:rsidRPr="005646F0" w:rsidRDefault="00921CED" w:rsidP="00EB3209">
            <w:pPr>
              <w:jc w:val="center"/>
              <w:rPr>
                <w:rFonts w:ascii="Comic Sans MS" w:hAnsi="Comic Sans MS"/>
                <w:sz w:val="24"/>
              </w:rPr>
            </w:pPr>
            <w:r w:rsidRPr="005646F0">
              <w:rPr>
                <w:rFonts w:ascii="Comic Sans MS" w:hAnsi="Comic Sans MS"/>
              </w:rPr>
              <w:t>subordinate clause</w:t>
            </w:r>
          </w:p>
        </w:tc>
        <w:tc>
          <w:tcPr>
            <w:tcW w:w="6440" w:type="dxa"/>
          </w:tcPr>
          <w:p w:rsidR="00EB3209" w:rsidRPr="005646F0" w:rsidRDefault="00921CED">
            <w:pPr>
              <w:rPr>
                <w:rFonts w:ascii="Comic Sans MS" w:hAnsi="Comic Sans MS"/>
                <w:sz w:val="24"/>
              </w:rPr>
            </w:pPr>
            <w:r w:rsidRPr="005646F0">
              <w:rPr>
                <w:rFonts w:ascii="Comic Sans MS" w:hAnsi="Comic Sans MS"/>
              </w:rPr>
              <w:t xml:space="preserve">A subordinate clause begins with a subordinating conjunction such as: </w:t>
            </w:r>
            <w:r w:rsidRPr="005646F0">
              <w:rPr>
                <w:rFonts w:ascii="Comic Sans MS" w:hAnsi="Comic Sans MS"/>
                <w:b/>
              </w:rPr>
              <w:t>because, if, or</w:t>
            </w:r>
            <w:r w:rsidRPr="005646F0">
              <w:rPr>
                <w:rFonts w:ascii="Comic Sans MS" w:hAnsi="Comic Sans MS"/>
              </w:rPr>
              <w:t xml:space="preserve">, and </w:t>
            </w:r>
            <w:r w:rsidRPr="005646F0">
              <w:rPr>
                <w:rFonts w:ascii="Comic Sans MS" w:hAnsi="Comic Sans MS"/>
                <w:b/>
              </w:rPr>
              <w:t>when</w:t>
            </w:r>
            <w:r w:rsidRPr="005646F0">
              <w:rPr>
                <w:rFonts w:ascii="Comic Sans MS" w:hAnsi="Comic Sans MS"/>
              </w:rPr>
              <w:t xml:space="preserve">. It can come before or after the main clause. For example: </w:t>
            </w:r>
            <w:r w:rsidRPr="005646F0">
              <w:rPr>
                <w:rFonts w:ascii="Comic Sans MS" w:hAnsi="Comic Sans MS"/>
                <w:u w:val="single"/>
              </w:rPr>
              <w:t>Because they eat aphids</w:t>
            </w:r>
            <w:r w:rsidRPr="005646F0">
              <w:rPr>
                <w:rFonts w:ascii="Comic Sans MS" w:hAnsi="Comic Sans MS"/>
              </w:rPr>
              <w:t>, ladybirds are useful in the garden.</w:t>
            </w:r>
          </w:p>
        </w:tc>
      </w:tr>
      <w:tr w:rsidR="00EB3209" w:rsidTr="00EB3209">
        <w:tc>
          <w:tcPr>
            <w:tcW w:w="2802" w:type="dxa"/>
          </w:tcPr>
          <w:p w:rsidR="00EB3209" w:rsidRPr="005646F0" w:rsidRDefault="005646F0" w:rsidP="00EB3209">
            <w:pPr>
              <w:jc w:val="center"/>
              <w:rPr>
                <w:rFonts w:ascii="Comic Sans MS" w:hAnsi="Comic Sans MS"/>
                <w:sz w:val="24"/>
              </w:rPr>
            </w:pPr>
            <w:r w:rsidRPr="005646F0">
              <w:rPr>
                <w:rFonts w:ascii="Comic Sans MS" w:hAnsi="Comic Sans MS"/>
              </w:rPr>
              <w:t>direct speech</w:t>
            </w:r>
          </w:p>
        </w:tc>
        <w:tc>
          <w:tcPr>
            <w:tcW w:w="6440" w:type="dxa"/>
          </w:tcPr>
          <w:p w:rsidR="00EB3209" w:rsidRPr="005646F0" w:rsidRDefault="005646F0">
            <w:pPr>
              <w:rPr>
                <w:rFonts w:ascii="Comic Sans MS" w:hAnsi="Comic Sans MS"/>
                <w:sz w:val="24"/>
              </w:rPr>
            </w:pPr>
            <w:r w:rsidRPr="005646F0">
              <w:rPr>
                <w:rFonts w:ascii="Comic Sans MS" w:hAnsi="Comic Sans MS"/>
              </w:rPr>
              <w:t>The reporting of speech by repeating the actual words of a speaker, for example “I'm going,” she said. Direct speech is always indicated using speech marks (inverted commas).</w:t>
            </w:r>
          </w:p>
        </w:tc>
      </w:tr>
      <w:tr w:rsidR="00EB3209" w:rsidTr="00EB3209">
        <w:tc>
          <w:tcPr>
            <w:tcW w:w="2802" w:type="dxa"/>
          </w:tcPr>
          <w:p w:rsidR="00EB3209" w:rsidRPr="005646F0" w:rsidRDefault="005646F0" w:rsidP="00EB3209">
            <w:pPr>
              <w:ind w:firstLine="720"/>
              <w:rPr>
                <w:rFonts w:ascii="Comic Sans MS" w:hAnsi="Comic Sans MS"/>
                <w:sz w:val="24"/>
              </w:rPr>
            </w:pPr>
            <w:r w:rsidRPr="005646F0">
              <w:rPr>
                <w:rFonts w:ascii="Comic Sans MS" w:hAnsi="Comic Sans MS"/>
              </w:rPr>
              <w:t>consonant</w:t>
            </w:r>
          </w:p>
        </w:tc>
        <w:tc>
          <w:tcPr>
            <w:tcW w:w="6440" w:type="dxa"/>
          </w:tcPr>
          <w:p w:rsidR="00EB3209" w:rsidRPr="005646F0" w:rsidRDefault="005646F0" w:rsidP="00EB3209">
            <w:pPr>
              <w:tabs>
                <w:tab w:val="left" w:pos="960"/>
              </w:tabs>
              <w:rPr>
                <w:rFonts w:ascii="Comic Sans MS" w:hAnsi="Comic Sans MS"/>
                <w:sz w:val="24"/>
              </w:rPr>
            </w:pPr>
            <w:r w:rsidRPr="005646F0">
              <w:rPr>
                <w:rFonts w:ascii="Comic Sans MS" w:hAnsi="Comic Sans MS"/>
              </w:rPr>
              <w:t>Every letter in the English alphabet that is not a vowel.</w:t>
            </w:r>
          </w:p>
        </w:tc>
      </w:tr>
      <w:tr w:rsidR="00EB3209" w:rsidTr="00EB3209">
        <w:tc>
          <w:tcPr>
            <w:tcW w:w="2802" w:type="dxa"/>
          </w:tcPr>
          <w:p w:rsidR="00EB3209" w:rsidRPr="005646F0" w:rsidRDefault="005646F0" w:rsidP="00EB3209">
            <w:pPr>
              <w:jc w:val="center"/>
              <w:rPr>
                <w:rFonts w:ascii="Comic Sans MS" w:hAnsi="Comic Sans MS"/>
                <w:sz w:val="24"/>
              </w:rPr>
            </w:pPr>
            <w:r w:rsidRPr="005646F0">
              <w:rPr>
                <w:rFonts w:ascii="Comic Sans MS" w:hAnsi="Comic Sans MS"/>
              </w:rPr>
              <w:t>vowel</w:t>
            </w:r>
          </w:p>
        </w:tc>
        <w:tc>
          <w:tcPr>
            <w:tcW w:w="6440" w:type="dxa"/>
          </w:tcPr>
          <w:p w:rsidR="00EB3209" w:rsidRPr="005646F0" w:rsidRDefault="005646F0">
            <w:pPr>
              <w:rPr>
                <w:rFonts w:ascii="Comic Sans MS" w:hAnsi="Comic Sans MS"/>
                <w:sz w:val="24"/>
              </w:rPr>
            </w:pPr>
            <w:r w:rsidRPr="005646F0">
              <w:rPr>
                <w:rFonts w:ascii="Comic Sans MS" w:hAnsi="Comic Sans MS"/>
              </w:rPr>
              <w:t xml:space="preserve">The letters a, e, </w:t>
            </w:r>
            <w:proofErr w:type="spellStart"/>
            <w:r w:rsidRPr="005646F0">
              <w:rPr>
                <w:rFonts w:ascii="Comic Sans MS" w:hAnsi="Comic Sans MS"/>
              </w:rPr>
              <w:t>i</w:t>
            </w:r>
            <w:proofErr w:type="spellEnd"/>
            <w:r w:rsidRPr="005646F0">
              <w:rPr>
                <w:rFonts w:ascii="Comic Sans MS" w:hAnsi="Comic Sans MS"/>
              </w:rPr>
              <w:t>, o, u in the English alphabet.</w:t>
            </w:r>
          </w:p>
        </w:tc>
      </w:tr>
      <w:tr w:rsidR="00EB3209" w:rsidTr="00EB3209">
        <w:tc>
          <w:tcPr>
            <w:tcW w:w="2802" w:type="dxa"/>
          </w:tcPr>
          <w:p w:rsidR="00EB3209" w:rsidRPr="005646F0" w:rsidRDefault="005646F0" w:rsidP="00EB3209">
            <w:pPr>
              <w:jc w:val="center"/>
              <w:rPr>
                <w:rFonts w:ascii="Comic Sans MS" w:hAnsi="Comic Sans MS"/>
                <w:sz w:val="24"/>
              </w:rPr>
            </w:pPr>
            <w:r w:rsidRPr="005646F0">
              <w:rPr>
                <w:rFonts w:ascii="Comic Sans MS" w:hAnsi="Comic Sans MS"/>
              </w:rPr>
              <w:t>inverted commas</w:t>
            </w:r>
          </w:p>
        </w:tc>
        <w:tc>
          <w:tcPr>
            <w:tcW w:w="6440" w:type="dxa"/>
          </w:tcPr>
          <w:p w:rsidR="00EB3209" w:rsidRPr="005646F0" w:rsidRDefault="005646F0">
            <w:pPr>
              <w:rPr>
                <w:rFonts w:ascii="Comic Sans MS" w:hAnsi="Comic Sans MS"/>
                <w:sz w:val="24"/>
              </w:rPr>
            </w:pPr>
            <w:r w:rsidRPr="005646F0">
              <w:rPr>
                <w:rFonts w:ascii="Comic Sans MS" w:hAnsi="Comic Sans MS"/>
              </w:rPr>
              <w:t>Inverted commas occur in pairs and can surround a single word or phrase, or a longer piece of text. For example: 'Look!' said a voice behind me. 'Look at the sky!' Inverted commas are also known as speech marks, quotation marks, or (informally) quotes. Pairs of quotation marks can be single ('...') or double ("..."), but are never mixed.</w:t>
            </w:r>
          </w:p>
        </w:tc>
      </w:tr>
    </w:tbl>
    <w:p w:rsidR="006B0899" w:rsidRDefault="006B0899"/>
    <w:sectPr w:rsidR="006B08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FC" w:rsidRDefault="00A147FC" w:rsidP="00EB3209">
      <w:pPr>
        <w:spacing w:after="0" w:line="240" w:lineRule="auto"/>
      </w:pPr>
      <w:r>
        <w:separator/>
      </w:r>
    </w:p>
  </w:endnote>
  <w:endnote w:type="continuationSeparator" w:id="0">
    <w:p w:rsidR="00A147FC" w:rsidRDefault="00A147FC" w:rsidP="00EB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FC" w:rsidRDefault="00A147FC" w:rsidP="00EB3209">
      <w:pPr>
        <w:spacing w:after="0" w:line="240" w:lineRule="auto"/>
      </w:pPr>
      <w:r>
        <w:separator/>
      </w:r>
    </w:p>
  </w:footnote>
  <w:footnote w:type="continuationSeparator" w:id="0">
    <w:p w:rsidR="00A147FC" w:rsidRDefault="00A147FC" w:rsidP="00EB3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09" w:rsidRDefault="00EB3209">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-106680</wp:posOffset>
              </wp:positionV>
              <wp:extent cx="6115050" cy="333375"/>
              <wp:effectExtent l="19050" t="19050" r="38100" b="666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3375"/>
                      </a:xfrm>
                      <a:prstGeom prst="rect">
                        <a:avLst/>
                      </a:prstGeom>
                      <a:solidFill>
                        <a:srgbClr val="7030A0"/>
                      </a:solidFill>
                      <a:ln w="38100">
                        <a:solidFill>
                          <a:srgbClr val="F2F2F2"/>
                        </a:solidFill>
                        <a:miter lim="800000"/>
                        <a:headEnd/>
                        <a:tailEnd/>
                      </a:ln>
                      <a:effectLst>
                        <a:outerShdw dist="28398" dir="3806097" algn="ctr" rotWithShape="0">
                          <a:srgbClr val="1F3763">
                            <a:alpha val="50000"/>
                          </a:srgbClr>
                        </a:outerShdw>
                      </a:effectLst>
                    </wps:spPr>
                    <wps:txbx>
                      <w:txbxContent>
                        <w:p w:rsidR="00EB3209" w:rsidRPr="007704B5" w:rsidRDefault="00EB3209" w:rsidP="00EB3209">
                          <w:pPr>
                            <w:rPr>
                              <w:rFonts w:ascii="Lucida Handwriting" w:hAnsi="Lucida Handwriting"/>
                              <w:color w:val="FFFFFF"/>
                              <w:sz w:val="20"/>
                              <w:szCs w:val="20"/>
                            </w:rPr>
                          </w:pPr>
                          <w:r w:rsidRPr="007704B5">
                            <w:rPr>
                              <w:rFonts w:ascii="Lucida Handwriting" w:hAnsi="Lucida Handwriting"/>
                              <w:color w:val="FFFFFF"/>
                              <w:sz w:val="20"/>
                              <w:szCs w:val="20"/>
                            </w:rPr>
                            <w:t xml:space="preserve">A Place of Joy and Learning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5pt;margin-top:-8.4pt;width:48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" fillcolor="#7030a0" strokecolor="#f2f2f2" strokeweight="3pt">
              <v:shadow on="t" color="#1f3763" opacity=".5" offset="1pt"/>
              <v:textbox>
                <w:txbxContent>
                  <w:p w:rsidR="00EB3209" w:rsidRPr="007704B5" w:rsidRDefault="00EB3209" w:rsidP="00EB3209">
                    <w:pPr>
                      <w:rPr>
                        <w:rFonts w:ascii="Lucida Handwriting" w:hAnsi="Lucida Handwriting"/>
                        <w:color w:val="FFFFFF"/>
                        <w:sz w:val="20"/>
                        <w:szCs w:val="20"/>
                      </w:rPr>
                    </w:pPr>
                    <w:r w:rsidRPr="007704B5">
                      <w:rPr>
                        <w:rFonts w:ascii="Lucida Handwriting" w:hAnsi="Lucida Handwriting"/>
                        <w:color w:val="FFFFFF"/>
                        <w:sz w:val="20"/>
                        <w:szCs w:val="20"/>
                      </w:rPr>
                      <w:t xml:space="preserve">A Place of Joy and Learning </w:t>
                    </w:r>
                  </w:p>
                </w:txbxContent>
              </v:textbox>
            </v:shape>
          </w:pict>
        </mc:Fallback>
      </mc:AlternateContent>
    </w:r>
    <w:r>
      <w:rPr>
        <w:noProof/>
      </w:rPr>
      <w:drawing>
        <wp:anchor distT="0" distB="0" distL="114300" distR="114300" simplePos="0" relativeHeight="251659264" behindDoc="1" locked="0" layoutInCell="1" allowOverlap="1" wp14:anchorId="71622DC9" wp14:editId="5E837DFD">
          <wp:simplePos x="0" y="0"/>
          <wp:positionH relativeFrom="column">
            <wp:posOffset>-390525</wp:posOffset>
          </wp:positionH>
          <wp:positionV relativeFrom="paragraph">
            <wp:posOffset>-182880</wp:posOffset>
          </wp:positionV>
          <wp:extent cx="495300" cy="650240"/>
          <wp:effectExtent l="0" t="0" r="0" b="0"/>
          <wp:wrapThrough wrapText="bothSides">
            <wp:wrapPolygon edited="0">
              <wp:start x="0" y="0"/>
              <wp:lineTo x="0" y="20883"/>
              <wp:lineTo x="20769" y="20883"/>
              <wp:lineTo x="207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09"/>
    <w:rsid w:val="005646F0"/>
    <w:rsid w:val="006B0899"/>
    <w:rsid w:val="00921CED"/>
    <w:rsid w:val="00A147FC"/>
    <w:rsid w:val="00EB3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209"/>
  </w:style>
  <w:style w:type="paragraph" w:styleId="Footer">
    <w:name w:val="footer"/>
    <w:basedOn w:val="Normal"/>
    <w:link w:val="FooterChar"/>
    <w:uiPriority w:val="99"/>
    <w:unhideWhenUsed/>
    <w:rsid w:val="00EB3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209"/>
  </w:style>
  <w:style w:type="paragraph" w:styleId="Footer">
    <w:name w:val="footer"/>
    <w:basedOn w:val="Normal"/>
    <w:link w:val="FooterChar"/>
    <w:uiPriority w:val="99"/>
    <w:unhideWhenUsed/>
    <w:rsid w:val="00EB3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D9E657421884EB35878F1DD61FAF9" ma:contentTypeVersion="0" ma:contentTypeDescription="Create a new document." ma:contentTypeScope="" ma:versionID="6e267724aff9c5c7ab53700a7bffa3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8FED0-FAEF-461D-823E-C49A3B5A9A72}"/>
</file>

<file path=customXml/itemProps2.xml><?xml version="1.0" encoding="utf-8"?>
<ds:datastoreItem xmlns:ds="http://schemas.openxmlformats.org/officeDocument/2006/customXml" ds:itemID="{EA3F0791-DD6E-42D8-87D3-93ABAB88F2E5}"/>
</file>

<file path=customXml/itemProps3.xml><?xml version="1.0" encoding="utf-8"?>
<ds:datastoreItem xmlns:ds="http://schemas.openxmlformats.org/officeDocument/2006/customXml" ds:itemID="{BD37BBFF-61A5-4D6C-B37A-A55F4B7773B0}"/>
</file>

<file path=customXml/itemProps4.xml><?xml version="1.0" encoding="utf-8"?>
<ds:datastoreItem xmlns:ds="http://schemas.openxmlformats.org/officeDocument/2006/customXml" ds:itemID="{71176A6E-75E8-4DBE-9E91-C926930BA04F}"/>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2019-04-01T15:47:00Z</dcterms:created>
  <dcterms:modified xsi:type="dcterms:W3CDTF">2019-04-01T15:47:00Z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0x010100014D9E657421884EB35878F1DD61FAF9</vt:lpwstr>
  </property>
</Properties>
</file>